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bookmarkStart w:id="0" w:name="_GoBack"/>
      <w:bookmarkEnd w:id="0"/>
      <w:r w:rsidRPr="0091708B">
        <w:rPr>
          <w:b/>
          <w:sz w:val="28"/>
        </w:rPr>
        <w:t xml:space="preserve">Gjennomsnittlig stillingsprosent </w:t>
      </w:r>
      <w:r w:rsidR="00B62DBC">
        <w:rPr>
          <w:b/>
          <w:sz w:val="28"/>
        </w:rPr>
        <w:t>Sektor Borge</w:t>
      </w:r>
      <w:r w:rsidRPr="0091708B">
        <w:rPr>
          <w:b/>
          <w:sz w:val="28"/>
        </w:rPr>
        <w:t>:</w:t>
      </w:r>
    </w:p>
    <w:p w:rsidR="0091708B" w:rsidRDefault="00B62DBC">
      <w:r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07B5CED3" wp14:editId="08825C46">
            <wp:simplePos x="0" y="0"/>
            <wp:positionH relativeFrom="column">
              <wp:posOffset>-63359</wp:posOffset>
            </wp:positionH>
            <wp:positionV relativeFrom="paragraph">
              <wp:posOffset>68860</wp:posOffset>
            </wp:positionV>
            <wp:extent cx="5191125" cy="3443288"/>
            <wp:effectExtent l="0" t="0" r="9525" b="2413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B62DBC">
        <w:rPr>
          <w:b/>
          <w:sz w:val="28"/>
        </w:rPr>
        <w:t>Sektor Borge</w:t>
      </w:r>
      <w:r w:rsidRPr="0091708B">
        <w:rPr>
          <w:b/>
          <w:sz w:val="28"/>
        </w:rPr>
        <w:t>, fordelt på faggrupper:</w:t>
      </w:r>
    </w:p>
    <w:p w:rsidR="0091708B" w:rsidRDefault="00B62DBC">
      <w:r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29E15267" wp14:editId="4422F429">
            <wp:simplePos x="0" y="0"/>
            <wp:positionH relativeFrom="column">
              <wp:posOffset>243840</wp:posOffset>
            </wp:positionH>
            <wp:positionV relativeFrom="paragraph">
              <wp:posOffset>111125</wp:posOffset>
            </wp:positionV>
            <wp:extent cx="5648325" cy="3338195"/>
            <wp:effectExtent l="0" t="0" r="9525" b="14605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312463" w:rsidRDefault="00337C5F" w:rsidP="00B045AE">
      <w:pPr>
        <w:pStyle w:val="Listeavsnitt"/>
        <w:numPr>
          <w:ilvl w:val="0"/>
          <w:numId w:val="1"/>
        </w:numPr>
      </w:pPr>
      <w:r>
        <w:t>V</w:t>
      </w:r>
      <w:r w:rsidR="00312463">
        <w:t>eldig bra resultat på fagarbeidergruppa, er det mulig å forbed</w:t>
      </w:r>
      <w:r>
        <w:t>re dette</w:t>
      </w:r>
    </w:p>
    <w:p w:rsidR="00337C5F" w:rsidRDefault="00337C5F" w:rsidP="00B045AE">
      <w:pPr>
        <w:pStyle w:val="Listeavsnitt"/>
        <w:numPr>
          <w:ilvl w:val="0"/>
          <w:numId w:val="1"/>
        </w:numPr>
      </w:pPr>
      <w:r>
        <w:t>Lavt resultat på sykepleiere jf faktisk (rød søyle). Årsak kan være fravær/turnover i ei lita faggruppe på avdelingen – gir stort utslag</w:t>
      </w:r>
    </w:p>
    <w:p w:rsidR="00D35C0F" w:rsidRP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91708B" w:rsidRDefault="005811B2">
      <w:r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58A92716" wp14:editId="6C4D5F84">
            <wp:simplePos x="0" y="0"/>
            <wp:positionH relativeFrom="column">
              <wp:posOffset>113030</wp:posOffset>
            </wp:positionH>
            <wp:positionV relativeFrom="paragraph">
              <wp:posOffset>-5080</wp:posOffset>
            </wp:positionV>
            <wp:extent cx="5124450" cy="3662045"/>
            <wp:effectExtent l="0" t="0" r="19050" b="14605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5811B2" w:rsidRDefault="005811B2">
      <w:pPr>
        <w:rPr>
          <w:b/>
        </w:rPr>
      </w:pPr>
    </w:p>
    <w:p w:rsidR="005811B2" w:rsidRDefault="005811B2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5811B2" w:rsidP="00B045AE">
      <w:pPr>
        <w:pStyle w:val="Listeavsnitt"/>
        <w:numPr>
          <w:ilvl w:val="0"/>
          <w:numId w:val="1"/>
        </w:numPr>
      </w:pPr>
      <w:r>
        <w:t xml:space="preserve">Atypisk at det ser ut som alle har </w:t>
      </w:r>
      <w:r w:rsidR="00312463">
        <w:t xml:space="preserve">omtrent </w:t>
      </w:r>
      <w:r>
        <w:t xml:space="preserve">«like vilkår» </w:t>
      </w:r>
      <w:r>
        <w:sym w:font="Wingdings" w:char="F04A"/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I turnus vil en fagarbeider i ca. 75% stilling ha utbetalt lønn og tillegg som utgjør en vanlig årslønn.</w:t>
      </w:r>
    </w:p>
    <w:p w:rsidR="00312463" w:rsidRDefault="00337C5F" w:rsidP="00B045AE">
      <w:pPr>
        <w:pStyle w:val="Listeavsnitt"/>
        <w:numPr>
          <w:ilvl w:val="0"/>
          <w:numId w:val="1"/>
        </w:numPr>
      </w:pPr>
      <w:r>
        <w:t>Likevel</w:t>
      </w:r>
      <w:r w:rsidR="00312463">
        <w:t xml:space="preserve"> 1/3 av de fast ansatte </w:t>
      </w:r>
      <w:r>
        <w:t xml:space="preserve">som </w:t>
      </w:r>
      <w:r w:rsidR="00312463">
        <w:t>har lavere stillingsprosent</w:t>
      </w:r>
      <w:r>
        <w:t xml:space="preserve"> enn 70%</w:t>
      </w:r>
    </w:p>
    <w:p w:rsidR="00B045AE" w:rsidRDefault="00B045AE"/>
    <w:p w:rsidR="0091708B" w:rsidRDefault="0091708B"/>
    <w:p w:rsidR="00B045AE" w:rsidRDefault="00B045AE">
      <w:r>
        <w:br w:type="page"/>
      </w:r>
    </w:p>
    <w:p w:rsidR="00B045AE" w:rsidRDefault="00B045AE"/>
    <w:p w:rsidR="0091708B" w:rsidRPr="00312463" w:rsidRDefault="00312463">
      <w:pPr>
        <w:rPr>
          <w:b/>
        </w:rPr>
      </w:pPr>
      <w:r w:rsidRPr="00312463">
        <w:rPr>
          <w:b/>
        </w:rPr>
        <w:t>Fast ansatte og vikarer – hvor mange deler på de totale stillingsressursene</w:t>
      </w:r>
      <w:r>
        <w:rPr>
          <w:b/>
        </w:rPr>
        <w:t>?</w:t>
      </w:r>
    </w:p>
    <w:p w:rsidR="0091708B" w:rsidRDefault="00312463">
      <w:r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6D337325" wp14:editId="69D5527E">
            <wp:simplePos x="0" y="0"/>
            <wp:positionH relativeFrom="column">
              <wp:posOffset>243840</wp:posOffset>
            </wp:positionH>
            <wp:positionV relativeFrom="paragraph">
              <wp:posOffset>72390</wp:posOffset>
            </wp:positionV>
            <wp:extent cx="4572000" cy="2743200"/>
            <wp:effectExtent l="0" t="0" r="19050" b="1905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312463" w:rsidRDefault="00312463" w:rsidP="00B045AE">
      <w:pPr>
        <w:pStyle w:val="Listeavsnitt"/>
        <w:numPr>
          <w:ilvl w:val="0"/>
          <w:numId w:val="2"/>
        </w:numPr>
      </w:pPr>
      <w:r>
        <w:t xml:space="preserve">72% flere </w:t>
      </w:r>
      <w:r w:rsidR="00337C5F">
        <w:t xml:space="preserve">er </w:t>
      </w:r>
      <w:r>
        <w:t>inne og arbeider i sektoren enn planlagt i grunnturnus</w:t>
      </w:r>
      <w:r w:rsidR="00337C5F">
        <w:t>, tilsier relativt mye innleie gjennom året.</w:t>
      </w:r>
    </w:p>
    <w:p w:rsidR="00B045AE" w:rsidRDefault="00B045AE"/>
    <w:p w:rsidR="0091708B" w:rsidRDefault="005811B2">
      <w:r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4BBE4771" wp14:editId="4A9E793A">
            <wp:simplePos x="0" y="0"/>
            <wp:positionH relativeFrom="column">
              <wp:posOffset>20740</wp:posOffset>
            </wp:positionH>
            <wp:positionV relativeFrom="paragraph">
              <wp:posOffset>121375</wp:posOffset>
            </wp:positionV>
            <wp:extent cx="5094514" cy="2743200"/>
            <wp:effectExtent l="0" t="0" r="11430" b="1905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6E357A" w:rsidRDefault="006E357A">
      <w:pPr>
        <w:rPr>
          <w:sz w:val="24"/>
        </w:rPr>
      </w:pPr>
      <w:r>
        <w:rPr>
          <w:sz w:val="24"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</w:p>
    <w:p w:rsidR="00312463" w:rsidRPr="006E357A" w:rsidRDefault="00312463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5,5% er lavt i forhold til andre sektorer/avdelinger i omsorg.</w:t>
      </w:r>
    </w:p>
    <w:p w:rsidR="006E357A" w:rsidRDefault="006E357A">
      <w:pPr>
        <w:rPr>
          <w:sz w:val="24"/>
        </w:rPr>
      </w:pPr>
    </w:p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B045AE" w:rsidRDefault="005811B2">
      <w:r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2CB3C1AC" wp14:editId="7E08B2C8">
            <wp:simplePos x="0" y="0"/>
            <wp:positionH relativeFrom="column">
              <wp:posOffset>-153159</wp:posOffset>
            </wp:positionH>
            <wp:positionV relativeFrom="paragraph">
              <wp:posOffset>140772</wp:posOffset>
            </wp:positionV>
            <wp:extent cx="4572000" cy="2743200"/>
            <wp:effectExtent l="0" t="0" r="19050" b="1905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 xml:space="preserve">Hensikten er å vise at driften har uønsket variasjon.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Vikarinnleie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312463" w:rsidRDefault="006E357A" w:rsidP="006E357A">
      <w:pPr>
        <w:pStyle w:val="Listeavsnitt"/>
        <w:numPr>
          <w:ilvl w:val="0"/>
          <w:numId w:val="3"/>
        </w:numPr>
      </w:pPr>
      <w:r>
        <w:t xml:space="preserve">Total uønsket variasjon er da </w:t>
      </w:r>
      <w:r w:rsidR="005811B2">
        <w:t>16</w:t>
      </w:r>
      <w:r w:rsidR="00010CC0">
        <w:t>% ved</w:t>
      </w:r>
      <w:r w:rsidR="005811B2">
        <w:t xml:space="preserve"> Sektor Borge</w:t>
      </w:r>
      <w:r w:rsidR="00312463">
        <w:t xml:space="preserve">. </w:t>
      </w:r>
      <w:r w:rsidR="00337C5F">
        <w:t>Normalt for sektoren, men likevel uønsket</w:t>
      </w:r>
    </w:p>
    <w:p w:rsidR="006E357A" w:rsidRDefault="006E357A" w:rsidP="006E357A"/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31" w:rsidRDefault="00B24B31" w:rsidP="00C733B5">
      <w:pPr>
        <w:spacing w:after="0" w:line="240" w:lineRule="auto"/>
      </w:pPr>
      <w:r>
        <w:separator/>
      </w:r>
    </w:p>
  </w:endnote>
  <w:endnote w:type="continuationSeparator" w:id="0">
    <w:p w:rsidR="00B24B31" w:rsidRDefault="00B24B31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31" w:rsidRDefault="00B24B31" w:rsidP="00C733B5">
      <w:pPr>
        <w:spacing w:after="0" w:line="240" w:lineRule="auto"/>
      </w:pPr>
      <w:r>
        <w:separator/>
      </w:r>
    </w:p>
  </w:footnote>
  <w:footnote w:type="continuationSeparator" w:id="0">
    <w:p w:rsidR="00B24B31" w:rsidRDefault="00B24B31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Det store heltidsvalget – nullpunktmåling jf heltid/deltid – </w:t>
    </w:r>
    <w:r w:rsidR="00B62DBC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Sektor Borge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A349D"/>
    <w:rsid w:val="00121AF5"/>
    <w:rsid w:val="001D40C3"/>
    <w:rsid w:val="001F0C4C"/>
    <w:rsid w:val="002C51BE"/>
    <w:rsid w:val="00312463"/>
    <w:rsid w:val="00337C5F"/>
    <w:rsid w:val="00376B11"/>
    <w:rsid w:val="004223B3"/>
    <w:rsid w:val="00434027"/>
    <w:rsid w:val="0056675F"/>
    <w:rsid w:val="005811B2"/>
    <w:rsid w:val="005A0A3C"/>
    <w:rsid w:val="006A6703"/>
    <w:rsid w:val="006E357A"/>
    <w:rsid w:val="00723AA9"/>
    <w:rsid w:val="007C5188"/>
    <w:rsid w:val="00873E26"/>
    <w:rsid w:val="0091708B"/>
    <w:rsid w:val="00932FC8"/>
    <w:rsid w:val="00947EFD"/>
    <w:rsid w:val="009B2235"/>
    <w:rsid w:val="00AA6C5A"/>
    <w:rsid w:val="00B045AE"/>
    <w:rsid w:val="00B24B31"/>
    <w:rsid w:val="00B62DBC"/>
    <w:rsid w:val="00C14EC2"/>
    <w:rsid w:val="00C733B5"/>
    <w:rsid w:val="00D13F2D"/>
    <w:rsid w:val="00D35C0F"/>
    <w:rsid w:val="00DF33AA"/>
    <w:rsid w:val="00E615F7"/>
    <w:rsid w:val="00EE0C8D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886"/>
  <w15:docId w15:val="{619F8879-6D89-43A4-B61C-CAD1219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Gjennom-snitt st.% alle, PLANLAGT</a:t>
            </a:r>
          </a:p>
        </c:rich>
      </c:tx>
      <c:layout>
        <c:manualLayout>
          <c:xMode val="edge"/>
          <c:yMode val="edge"/>
          <c:x val="0.18519912354078422"/>
          <c:y val="2.21320545924013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Borge'!$D$3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'Sektor Borge'!$D$4</c:f>
              <c:numCache>
                <c:formatCode>0.00%</c:formatCode>
                <c:ptCount val="1"/>
                <c:pt idx="0">
                  <c:v>0.71666666666666667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1-4E80-B828-D3618E26A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44672"/>
        <c:axId val="221646208"/>
      </c:barChart>
      <c:catAx>
        <c:axId val="2216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646208"/>
        <c:crosses val="autoZero"/>
        <c:auto val="1"/>
        <c:lblAlgn val="ctr"/>
        <c:lblOffset val="100"/>
        <c:noMultiLvlLbl val="0"/>
      </c:catAx>
      <c:valAx>
        <c:axId val="221646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164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'Sektor Borge'!$N$10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Borge'!$M$11:$M$13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Ass/hj.hjelp</c:v>
                </c:pt>
              </c:strCache>
            </c:strRef>
          </c:cat>
          <c:val>
            <c:numRef>
              <c:f>'Sektor Borge'!$N$11:$N$13</c:f>
              <c:numCache>
                <c:formatCode>0.0\ %</c:formatCode>
                <c:ptCount val="3"/>
                <c:pt idx="0" formatCode="0.00%">
                  <c:v>0.83333333333333337</c:v>
                </c:pt>
                <c:pt idx="1">
                  <c:v>0.75555555555555554</c:v>
                </c:pt>
                <c:pt idx="2" formatCode="0.00%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39-4EE4-8566-65270F5AB076}"/>
            </c:ext>
          </c:extLst>
        </c:ser>
        <c:ser>
          <c:idx val="1"/>
          <c:order val="1"/>
          <c:tx>
            <c:strRef>
              <c:f>'Sektor Borge'!$O$10</c:f>
              <c:strCache>
                <c:ptCount val="1"/>
                <c:pt idx="0">
                  <c:v>Faktisk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Borge'!$M$11:$M$13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Ass/hj.hjelp</c:v>
                </c:pt>
              </c:strCache>
            </c:strRef>
          </c:cat>
          <c:val>
            <c:numRef>
              <c:f>'Sektor Borge'!$O$11:$O$13</c:f>
              <c:numCache>
                <c:formatCode>0.0\ %</c:formatCode>
                <c:ptCount val="3"/>
                <c:pt idx="0" formatCode="0.00%">
                  <c:v>0.48333333333333334</c:v>
                </c:pt>
                <c:pt idx="1">
                  <c:v>0.69090909090909092</c:v>
                </c:pt>
                <c:pt idx="2" formatCode="0.00%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39-4EE4-8566-65270F5AB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59904"/>
        <c:axId val="221661440"/>
      </c:barChart>
      <c:catAx>
        <c:axId val="22165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661440"/>
        <c:crosses val="autoZero"/>
        <c:auto val="1"/>
        <c:lblAlgn val="ctr"/>
        <c:lblOffset val="100"/>
        <c:noMultiLvlLbl val="0"/>
      </c:catAx>
      <c:valAx>
        <c:axId val="221661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165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Borge'!$AL$3:$AN$3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'Sektor Borge'!$AL$4:$AN$4</c:f>
              <c:numCache>
                <c:formatCode>0.00%</c:formatCode>
                <c:ptCount val="3"/>
                <c:pt idx="0">
                  <c:v>0.66700000000000004</c:v>
                </c:pt>
                <c:pt idx="1">
                  <c:v>0.66700000000000004</c:v>
                </c:pt>
                <c:pt idx="2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5-4D55-8B06-BA6FBA0AD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81920"/>
        <c:axId val="221691904"/>
      </c:barChart>
      <c:catAx>
        <c:axId val="22168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691904"/>
        <c:crosses val="autoZero"/>
        <c:auto val="1"/>
        <c:lblAlgn val="ctr"/>
        <c:lblOffset val="100"/>
        <c:noMultiLvlLbl val="0"/>
      </c:catAx>
      <c:valAx>
        <c:axId val="2216919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168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9518810148729E-2"/>
          <c:y val="2.8252405949256341E-2"/>
          <c:w val="0.76306802274715657"/>
          <c:h val="0.776114756488772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Borge'!$AG$3:$AH$3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'Sektor Borge'!$AG$4:$AH$4</c:f>
              <c:numCache>
                <c:formatCode>0</c:formatCode>
                <c:ptCount val="2"/>
                <c:pt idx="0">
                  <c:v>18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8-4828-8118-C3034EA71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16480"/>
        <c:axId val="221718016"/>
      </c:barChart>
      <c:catAx>
        <c:axId val="22171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718016"/>
        <c:crosses val="autoZero"/>
        <c:auto val="1"/>
        <c:lblAlgn val="ctr"/>
        <c:lblOffset val="100"/>
        <c:noMultiLvlLbl val="0"/>
      </c:catAx>
      <c:valAx>
        <c:axId val="2217180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171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'Sektor Borge'!$AQ$3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'Sektor Borge'!$AQ$4:$AQ$5</c:f>
              <c:numCache>
                <c:formatCode>0.00%</c:formatCode>
                <c:ptCount val="2"/>
                <c:pt idx="0">
                  <c:v>5.5555555555555601E-2</c:v>
                </c:pt>
                <c:pt idx="1">
                  <c:v>0.94444444444444442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F-435C-A19C-7BD93FC49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'Sektor Borge'!$AR$3:$AT$3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'Sektor Borge'!$AR$4:$AT$4</c:f>
              <c:numCache>
                <c:formatCode>0%</c:formatCode>
                <c:ptCount val="3"/>
                <c:pt idx="0" formatCode="0.00%">
                  <c:v>0.22011494252873565</c:v>
                </c:pt>
                <c:pt idx="1">
                  <c:v>-0.06</c:v>
                </c:pt>
                <c:pt idx="2" formatCode="0.00%">
                  <c:v>0.16011494252873565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5-4386-A4EC-8B015D271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63456"/>
        <c:axId val="172164992"/>
      </c:barChart>
      <c:catAx>
        <c:axId val="17216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164992"/>
        <c:crosses val="autoZero"/>
        <c:auto val="1"/>
        <c:lblAlgn val="ctr"/>
        <c:lblOffset val="100"/>
        <c:noMultiLvlLbl val="0"/>
      </c:catAx>
      <c:valAx>
        <c:axId val="1721649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216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5</cp:revision>
  <dcterms:created xsi:type="dcterms:W3CDTF">2017-06-28T13:23:00Z</dcterms:created>
  <dcterms:modified xsi:type="dcterms:W3CDTF">2018-07-10T11:22:00Z</dcterms:modified>
</cp:coreProperties>
</file>