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361"/>
        <w:gridCol w:w="452"/>
        <w:gridCol w:w="1813"/>
      </w:tblGrid>
      <w:tr w:rsidR="00994D81" w:rsidTr="0061136B">
        <w:tc>
          <w:tcPr>
            <w:tcW w:w="6797" w:type="dxa"/>
            <w:gridSpan w:val="4"/>
          </w:tcPr>
          <w:p w:rsidR="00994D81" w:rsidRPr="0061136B" w:rsidRDefault="0061136B" w:rsidP="0061136B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61136B">
              <w:rPr>
                <w:b/>
                <w:color w:val="000000" w:themeColor="text1"/>
                <w:sz w:val="24"/>
                <w:szCs w:val="24"/>
              </w:rPr>
              <w:t>Vestvågøy kommune</w:t>
            </w:r>
          </w:p>
          <w:p w:rsidR="00994D81" w:rsidRPr="0061136B" w:rsidRDefault="0061136B" w:rsidP="0061136B">
            <w:pPr>
              <w:spacing w:line="360" w:lineRule="auto"/>
              <w:rPr>
                <w:b/>
              </w:rPr>
            </w:pPr>
            <w:r w:rsidRPr="0061136B">
              <w:rPr>
                <w:b/>
                <w:sz w:val="24"/>
                <w:szCs w:val="24"/>
              </w:rPr>
              <w:t>NAV Vestvågøy</w:t>
            </w:r>
          </w:p>
        </w:tc>
        <w:tc>
          <w:tcPr>
            <w:tcW w:w="2265" w:type="dxa"/>
            <w:gridSpan w:val="2"/>
          </w:tcPr>
          <w:p w:rsidR="00994D81" w:rsidRDefault="00994D81" w:rsidP="0061136B">
            <w:pPr>
              <w:spacing w:line="360" w:lineRule="auto"/>
            </w:pPr>
          </w:p>
          <w:p w:rsidR="0061136B" w:rsidRPr="0061136B" w:rsidRDefault="0061136B" w:rsidP="006107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Dok.ID: </w:t>
            </w:r>
            <w:r w:rsidRPr="0061136B">
              <w:rPr>
                <w:b/>
                <w:sz w:val="20"/>
                <w:szCs w:val="20"/>
              </w:rPr>
              <w:t>NAV.</w:t>
            </w:r>
            <w:r w:rsidR="00A42768">
              <w:rPr>
                <w:b/>
                <w:sz w:val="20"/>
                <w:szCs w:val="20"/>
              </w:rPr>
              <w:t>STA-</w:t>
            </w:r>
            <w:r w:rsidRPr="0061136B">
              <w:rPr>
                <w:b/>
                <w:sz w:val="20"/>
                <w:szCs w:val="20"/>
              </w:rPr>
              <w:t>0</w:t>
            </w:r>
            <w:r w:rsidR="006107D5">
              <w:rPr>
                <w:b/>
                <w:sz w:val="20"/>
                <w:szCs w:val="20"/>
              </w:rPr>
              <w:t>8</w:t>
            </w:r>
          </w:p>
        </w:tc>
      </w:tr>
      <w:tr w:rsidR="00994D81" w:rsidTr="0061136B">
        <w:tc>
          <w:tcPr>
            <w:tcW w:w="6797" w:type="dxa"/>
            <w:gridSpan w:val="4"/>
          </w:tcPr>
          <w:p w:rsidR="00994D81" w:rsidRPr="0061136B" w:rsidRDefault="0061136B" w:rsidP="006107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Rutine </w:t>
            </w:r>
            <w:r w:rsidR="00F221D3">
              <w:rPr>
                <w:b/>
              </w:rPr>
              <w:t xml:space="preserve">for </w:t>
            </w:r>
            <w:proofErr w:type="spellStart"/>
            <w:r w:rsidR="006107D5">
              <w:rPr>
                <w:b/>
              </w:rPr>
              <w:t>sikkerhetsdokumenter</w:t>
            </w:r>
            <w:proofErr w:type="spellEnd"/>
            <w:r w:rsidR="006107D5">
              <w:rPr>
                <w:b/>
              </w:rPr>
              <w:t xml:space="preserve"> og utbetaling </w:t>
            </w:r>
          </w:p>
        </w:tc>
        <w:tc>
          <w:tcPr>
            <w:tcW w:w="2265" w:type="dxa"/>
            <w:gridSpan w:val="2"/>
          </w:tcPr>
          <w:p w:rsidR="00994D81" w:rsidRDefault="00994D81"/>
        </w:tc>
      </w:tr>
      <w:tr w:rsidR="0061136B" w:rsidTr="0061136B">
        <w:tc>
          <w:tcPr>
            <w:tcW w:w="1812" w:type="dxa"/>
          </w:tcPr>
          <w:p w:rsidR="0061136B" w:rsidRDefault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Utgave:</w:t>
            </w:r>
          </w:p>
          <w:p w:rsidR="0061136B" w:rsidRPr="0061136B" w:rsidRDefault="00A54A8A" w:rsidP="0061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61136B" w:rsidRDefault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Skrevet av:</w:t>
            </w:r>
          </w:p>
          <w:p w:rsidR="004A25BC" w:rsidRPr="0061136B" w:rsidRDefault="004A2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Tove Haug</w:t>
            </w:r>
          </w:p>
        </w:tc>
        <w:tc>
          <w:tcPr>
            <w:tcW w:w="1812" w:type="dxa"/>
          </w:tcPr>
          <w:p w:rsidR="0061136B" w:rsidRDefault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Gjelder fra:</w:t>
            </w:r>
          </w:p>
          <w:p w:rsidR="004A25BC" w:rsidRPr="0061136B" w:rsidRDefault="00A5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</w:t>
            </w:r>
          </w:p>
        </w:tc>
        <w:tc>
          <w:tcPr>
            <w:tcW w:w="1813" w:type="dxa"/>
            <w:gridSpan w:val="2"/>
          </w:tcPr>
          <w:p w:rsidR="0061136B" w:rsidRDefault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Godkjent av:</w:t>
            </w:r>
          </w:p>
          <w:p w:rsidR="004929E0" w:rsidRPr="0061136B" w:rsidRDefault="004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Ørjan Hansen</w:t>
            </w:r>
          </w:p>
        </w:tc>
        <w:tc>
          <w:tcPr>
            <w:tcW w:w="1813" w:type="dxa"/>
          </w:tcPr>
          <w:p w:rsidR="0061136B" w:rsidRDefault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nr.:</w:t>
            </w:r>
          </w:p>
          <w:p w:rsidR="004A25BC" w:rsidRPr="0061136B" w:rsidRDefault="004A25BC" w:rsidP="00A5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av </w:t>
            </w:r>
            <w:r w:rsidR="00A54A8A">
              <w:rPr>
                <w:sz w:val="20"/>
                <w:szCs w:val="20"/>
              </w:rPr>
              <w:t>2</w:t>
            </w:r>
          </w:p>
        </w:tc>
      </w:tr>
    </w:tbl>
    <w:p w:rsidR="00F0582D" w:rsidRDefault="00F0582D"/>
    <w:p w:rsidR="0061136B" w:rsidRDefault="0061136B" w:rsidP="00C7278F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Formål</w:t>
      </w:r>
    </w:p>
    <w:p w:rsidR="00C7278F" w:rsidRDefault="00C7278F" w:rsidP="00C7278F">
      <w:pPr>
        <w:spacing w:after="0"/>
        <w:ind w:left="360"/>
        <w:rPr>
          <w:sz w:val="20"/>
          <w:szCs w:val="20"/>
        </w:rPr>
      </w:pPr>
      <w:r w:rsidRPr="00C7278F">
        <w:rPr>
          <w:sz w:val="20"/>
          <w:szCs w:val="20"/>
        </w:rPr>
        <w:t>Formålet med rutinen er å:</w:t>
      </w:r>
    </w:p>
    <w:p w:rsidR="005F552B" w:rsidRDefault="005F552B" w:rsidP="005F552B">
      <w:pPr>
        <w:pStyle w:val="Listeavsnit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Sikre at forskrift om startlån og Husbankens retningslinjer etterfølges</w:t>
      </w:r>
    </w:p>
    <w:p w:rsidR="005F552B" w:rsidRDefault="005F552B" w:rsidP="005F552B">
      <w:pPr>
        <w:pStyle w:val="Listeavsnit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Sikre at </w:t>
      </w:r>
      <w:r w:rsidR="006107D5">
        <w:rPr>
          <w:sz w:val="20"/>
          <w:szCs w:val="20"/>
        </w:rPr>
        <w:t xml:space="preserve">det utstedes </w:t>
      </w:r>
      <w:proofErr w:type="spellStart"/>
      <w:r w:rsidR="006107D5">
        <w:rPr>
          <w:sz w:val="20"/>
          <w:szCs w:val="20"/>
        </w:rPr>
        <w:t>sikkerhetsdokumenter</w:t>
      </w:r>
      <w:proofErr w:type="spellEnd"/>
      <w:r w:rsidR="006107D5">
        <w:rPr>
          <w:sz w:val="20"/>
          <w:szCs w:val="20"/>
        </w:rPr>
        <w:t xml:space="preserve"> for lån og tilskudd</w:t>
      </w:r>
    </w:p>
    <w:p w:rsidR="005F552B" w:rsidRDefault="005F552B" w:rsidP="005F552B">
      <w:pPr>
        <w:pStyle w:val="Listeavsnit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Sikre at </w:t>
      </w:r>
      <w:r w:rsidR="006107D5">
        <w:rPr>
          <w:sz w:val="20"/>
          <w:szCs w:val="20"/>
        </w:rPr>
        <w:t>søker får utbetalt innvilget lån og tilskudd uten ugrunnet opphold</w:t>
      </w:r>
    </w:p>
    <w:p w:rsidR="005F552B" w:rsidRPr="00C7278F" w:rsidRDefault="005F552B" w:rsidP="00C7278F">
      <w:pPr>
        <w:spacing w:after="0"/>
        <w:ind w:left="360"/>
        <w:rPr>
          <w:sz w:val="20"/>
          <w:szCs w:val="20"/>
        </w:rPr>
      </w:pPr>
    </w:p>
    <w:p w:rsidR="0061136B" w:rsidRPr="001B32A8" w:rsidRDefault="0061136B" w:rsidP="001B32A8">
      <w:pPr>
        <w:pStyle w:val="Listeavsnitt"/>
        <w:numPr>
          <w:ilvl w:val="0"/>
          <w:numId w:val="1"/>
        </w:numPr>
        <w:spacing w:after="0"/>
        <w:rPr>
          <w:b/>
        </w:rPr>
      </w:pPr>
      <w:r w:rsidRPr="001B32A8">
        <w:rPr>
          <w:b/>
        </w:rPr>
        <w:t>Omfang</w:t>
      </w:r>
    </w:p>
    <w:p w:rsidR="00C7278F" w:rsidRPr="00C7278F" w:rsidRDefault="00C7278F" w:rsidP="00C7278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Rutinen gjelder for </w:t>
      </w:r>
      <w:r w:rsidR="004A25BC">
        <w:rPr>
          <w:sz w:val="20"/>
          <w:szCs w:val="20"/>
        </w:rPr>
        <w:t>saksbehandler</w:t>
      </w:r>
      <w:r w:rsidR="00B37607">
        <w:rPr>
          <w:sz w:val="20"/>
          <w:szCs w:val="20"/>
        </w:rPr>
        <w:t xml:space="preserve"> og </w:t>
      </w:r>
      <w:r>
        <w:rPr>
          <w:sz w:val="20"/>
          <w:szCs w:val="20"/>
        </w:rPr>
        <w:t xml:space="preserve">fagansvarlig </w:t>
      </w:r>
      <w:r w:rsidR="004A25BC">
        <w:rPr>
          <w:sz w:val="20"/>
          <w:szCs w:val="20"/>
        </w:rPr>
        <w:t xml:space="preserve">av Husbankens </w:t>
      </w:r>
      <w:r w:rsidR="00B91D0A">
        <w:rPr>
          <w:sz w:val="20"/>
          <w:szCs w:val="20"/>
        </w:rPr>
        <w:t>startlån</w:t>
      </w:r>
      <w:r w:rsidR="004B07BC">
        <w:rPr>
          <w:sz w:val="20"/>
          <w:szCs w:val="20"/>
        </w:rPr>
        <w:t xml:space="preserve"> og tilskudd</w:t>
      </w:r>
      <w:r w:rsidR="004A25BC">
        <w:rPr>
          <w:sz w:val="20"/>
          <w:szCs w:val="20"/>
        </w:rPr>
        <w:t>,</w:t>
      </w:r>
      <w:r w:rsidR="006107D5">
        <w:rPr>
          <w:sz w:val="20"/>
          <w:szCs w:val="20"/>
        </w:rPr>
        <w:t xml:space="preserve"> </w:t>
      </w:r>
      <w:proofErr w:type="spellStart"/>
      <w:r w:rsidR="006107D5">
        <w:rPr>
          <w:sz w:val="20"/>
          <w:szCs w:val="20"/>
        </w:rPr>
        <w:t>Lindorff</w:t>
      </w:r>
      <w:proofErr w:type="spellEnd"/>
      <w:r w:rsidR="006107D5">
        <w:rPr>
          <w:sz w:val="20"/>
          <w:szCs w:val="20"/>
        </w:rPr>
        <w:t>, økonomienheten i Vestvågøy kommune,</w:t>
      </w:r>
      <w:r w:rsidR="00847864">
        <w:rPr>
          <w:sz w:val="20"/>
          <w:szCs w:val="20"/>
        </w:rPr>
        <w:t xml:space="preserve"> </w:t>
      </w:r>
      <w:r w:rsidR="004A25BC">
        <w:rPr>
          <w:sz w:val="20"/>
          <w:szCs w:val="20"/>
        </w:rPr>
        <w:t xml:space="preserve">samt øvrige ansatte i NAV som arbeider med </w:t>
      </w:r>
      <w:r w:rsidR="00B91D0A">
        <w:rPr>
          <w:sz w:val="20"/>
          <w:szCs w:val="20"/>
        </w:rPr>
        <w:t xml:space="preserve">økonomisk </w:t>
      </w:r>
      <w:r w:rsidR="004A25BC">
        <w:rPr>
          <w:sz w:val="20"/>
          <w:szCs w:val="20"/>
        </w:rPr>
        <w:t>veiledning</w:t>
      </w:r>
      <w:r w:rsidR="00B91D0A">
        <w:rPr>
          <w:sz w:val="20"/>
          <w:szCs w:val="20"/>
        </w:rPr>
        <w:t>.</w:t>
      </w:r>
    </w:p>
    <w:p w:rsidR="0061136B" w:rsidRDefault="0061136B" w:rsidP="0061136B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Ansvar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78F" w:rsidTr="00C7278F">
        <w:tc>
          <w:tcPr>
            <w:tcW w:w="4531" w:type="dxa"/>
          </w:tcPr>
          <w:p w:rsidR="00C7278F" w:rsidRDefault="00C7278F" w:rsidP="00C7278F">
            <w:pPr>
              <w:jc w:val="center"/>
              <w:rPr>
                <w:b/>
              </w:rPr>
            </w:pPr>
            <w:r>
              <w:rPr>
                <w:b/>
              </w:rPr>
              <w:t>Område</w:t>
            </w:r>
          </w:p>
        </w:tc>
        <w:tc>
          <w:tcPr>
            <w:tcW w:w="4531" w:type="dxa"/>
          </w:tcPr>
          <w:p w:rsidR="00C7278F" w:rsidRDefault="00C7278F" w:rsidP="00C7278F">
            <w:pPr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C7278F" w:rsidRPr="00C7278F" w:rsidTr="00C7278F">
        <w:tc>
          <w:tcPr>
            <w:tcW w:w="4531" w:type="dxa"/>
          </w:tcPr>
          <w:p w:rsidR="00C7278F" w:rsidRPr="00C7278F" w:rsidRDefault="00C7278F" w:rsidP="00C7278F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278F">
              <w:rPr>
                <w:sz w:val="20"/>
                <w:szCs w:val="20"/>
              </w:rPr>
              <w:t>Utarbeide og vedlikeholde rutinen</w:t>
            </w:r>
          </w:p>
        </w:tc>
        <w:tc>
          <w:tcPr>
            <w:tcW w:w="4531" w:type="dxa"/>
          </w:tcPr>
          <w:p w:rsidR="00C7278F" w:rsidRDefault="00C7278F" w:rsidP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leder</w:t>
            </w:r>
          </w:p>
          <w:p w:rsidR="00C7278F" w:rsidRPr="00C7278F" w:rsidRDefault="00C7278F" w:rsidP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Avdelingsleder, fagansvarlig og saksbehandler</w:t>
            </w:r>
          </w:p>
        </w:tc>
      </w:tr>
      <w:tr w:rsidR="00C7278F" w:rsidRPr="00C7278F" w:rsidTr="00C7278F">
        <w:tc>
          <w:tcPr>
            <w:tcW w:w="4531" w:type="dxa"/>
          </w:tcPr>
          <w:p w:rsidR="00C7278F" w:rsidRDefault="00C7278F" w:rsidP="00C7278F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Iverksette og oppfølging</w:t>
            </w:r>
          </w:p>
          <w:p w:rsidR="00C7278F" w:rsidRPr="00C7278F" w:rsidRDefault="00C7278F" w:rsidP="00C7278F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nødvendig foreslå endringer</w:t>
            </w:r>
          </w:p>
        </w:tc>
        <w:tc>
          <w:tcPr>
            <w:tcW w:w="4531" w:type="dxa"/>
          </w:tcPr>
          <w:p w:rsidR="00C7278F" w:rsidRPr="00C7278F" w:rsidRDefault="00C7278F" w:rsidP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Fagansvarlig og saksbehandler</w:t>
            </w:r>
          </w:p>
        </w:tc>
      </w:tr>
      <w:tr w:rsidR="00C7278F" w:rsidRPr="00C7278F" w:rsidTr="00C7278F">
        <w:tc>
          <w:tcPr>
            <w:tcW w:w="4531" w:type="dxa"/>
          </w:tcPr>
          <w:p w:rsidR="00C7278F" w:rsidRDefault="00C7278F" w:rsidP="00C7278F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Kjenne innholdet og etterleve rutinen</w:t>
            </w:r>
          </w:p>
          <w:p w:rsidR="00C7278F" w:rsidRDefault="00C7278F" w:rsidP="00C7278F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Foreslå endringer og forbedringer</w:t>
            </w:r>
          </w:p>
          <w:p w:rsidR="00C7278F" w:rsidRPr="00C7278F" w:rsidRDefault="00C7278F" w:rsidP="00C7278F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Påvise og rapportere avvik</w:t>
            </w:r>
          </w:p>
        </w:tc>
        <w:tc>
          <w:tcPr>
            <w:tcW w:w="4531" w:type="dxa"/>
          </w:tcPr>
          <w:p w:rsidR="00C7278F" w:rsidRPr="00C7278F" w:rsidRDefault="006F495F" w:rsidP="0061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Fagansvarlig og saks</w:t>
            </w:r>
            <w:r w:rsidR="00C7278F">
              <w:rPr>
                <w:sz w:val="20"/>
                <w:szCs w:val="20"/>
              </w:rPr>
              <w:t>behandler</w:t>
            </w:r>
          </w:p>
        </w:tc>
      </w:tr>
    </w:tbl>
    <w:p w:rsidR="0061136B" w:rsidRDefault="0061136B" w:rsidP="00C7278F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Beskrivelse av handlingsmønster</w:t>
      </w:r>
    </w:p>
    <w:p w:rsidR="005F552B" w:rsidRDefault="008F0EA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Når søker har godkjent vedtak skal saksbehandler starte prosess med å få utstedt </w:t>
      </w:r>
      <w:proofErr w:type="spellStart"/>
      <w:r>
        <w:rPr>
          <w:sz w:val="20"/>
          <w:szCs w:val="20"/>
        </w:rPr>
        <w:t>sikkerhetsdokumenter</w:t>
      </w:r>
      <w:proofErr w:type="spellEnd"/>
      <w:r>
        <w:rPr>
          <w:sz w:val="20"/>
          <w:szCs w:val="20"/>
        </w:rPr>
        <w:t>.</w:t>
      </w:r>
    </w:p>
    <w:p w:rsidR="008F0EAA" w:rsidRDefault="008F0EA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de tilfellene det er snakk om en konkret bolig ved søknad, skal vilkårene for vedtaket være oppfylt, spesielt forsikringsattest. Vedtak, forsikringsattest og kjøpekontrakt sendes til </w:t>
      </w:r>
      <w:proofErr w:type="spellStart"/>
      <w:r>
        <w:rPr>
          <w:sz w:val="20"/>
          <w:szCs w:val="20"/>
        </w:rPr>
        <w:t>Lindorff</w:t>
      </w:r>
      <w:proofErr w:type="spellEnd"/>
      <w:r>
        <w:rPr>
          <w:sz w:val="20"/>
          <w:szCs w:val="20"/>
        </w:rPr>
        <w:t>, Låneadministrasjon, 7485  Trondheim</w:t>
      </w:r>
      <w:r w:rsidR="00A54A8A">
        <w:rPr>
          <w:sz w:val="20"/>
          <w:szCs w:val="20"/>
        </w:rPr>
        <w:t>(laanetilsagn@lindor.com)</w:t>
      </w:r>
      <w:r>
        <w:rPr>
          <w:sz w:val="20"/>
          <w:szCs w:val="20"/>
        </w:rPr>
        <w:t xml:space="preserve"> for utstedelse av </w:t>
      </w:r>
      <w:proofErr w:type="spellStart"/>
      <w:r>
        <w:rPr>
          <w:sz w:val="20"/>
          <w:szCs w:val="20"/>
        </w:rPr>
        <w:t>sikkerhetsdokumenter</w:t>
      </w:r>
      <w:proofErr w:type="spellEnd"/>
      <w:r w:rsidR="00A54A8A">
        <w:rPr>
          <w:sz w:val="20"/>
          <w:szCs w:val="20"/>
        </w:rPr>
        <w:t>.</w:t>
      </w: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A54A8A" w:rsidRDefault="00A54A8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Det er viktig at </w:t>
      </w:r>
      <w:proofErr w:type="spellStart"/>
      <w:r>
        <w:rPr>
          <w:sz w:val="20"/>
          <w:szCs w:val="20"/>
        </w:rPr>
        <w:t>Lindorff</w:t>
      </w:r>
      <w:proofErr w:type="spellEnd"/>
      <w:r>
        <w:rPr>
          <w:sz w:val="20"/>
          <w:szCs w:val="20"/>
        </w:rPr>
        <w:t xml:space="preserve"> påser at pantedokumentene står på rette personer, hvis en søker overtar lån der det har vært to, må pantedokumentene endres.</w:t>
      </w: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8F0EAA" w:rsidRDefault="008F0EA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For søkere som får innvilget startlån til utbedringer av bolig, skal vedtak og forsikringsattest sendes til </w:t>
      </w:r>
      <w:proofErr w:type="spellStart"/>
      <w:r>
        <w:rPr>
          <w:sz w:val="20"/>
          <w:szCs w:val="20"/>
        </w:rPr>
        <w:t>Lindorff</w:t>
      </w:r>
      <w:proofErr w:type="spellEnd"/>
      <w:r>
        <w:rPr>
          <w:sz w:val="20"/>
          <w:szCs w:val="20"/>
        </w:rPr>
        <w:t>. Utbetaling av lånet, skjer etter regning. Det vil si at søker sender inn regninger i forbindelse med utbedringer, og utbetales fortløpende inntil lånets tilsagn.</w:t>
      </w:r>
    </w:p>
    <w:p w:rsidR="008F0EAA" w:rsidRDefault="008F0EAA" w:rsidP="005F552B">
      <w:pPr>
        <w:spacing w:after="0"/>
        <w:ind w:left="360"/>
        <w:rPr>
          <w:sz w:val="20"/>
          <w:szCs w:val="20"/>
        </w:rPr>
      </w:pPr>
    </w:p>
    <w:p w:rsidR="008F0EAA" w:rsidRDefault="008F0EA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For søkere som får innvilget startlån, refinansiering – vil det fremkomme forskjellige vilkår. Noen lån utbetales dirkete til kreditorer, det er </w:t>
      </w:r>
      <w:proofErr w:type="spellStart"/>
      <w:r>
        <w:rPr>
          <w:sz w:val="20"/>
          <w:szCs w:val="20"/>
        </w:rPr>
        <w:t>Lindorff</w:t>
      </w:r>
      <w:proofErr w:type="spellEnd"/>
      <w:r>
        <w:rPr>
          <w:sz w:val="20"/>
          <w:szCs w:val="20"/>
        </w:rPr>
        <w:t xml:space="preserve"> som ivaretar sikkerhetsdokumentene for også disse lånene.</w:t>
      </w:r>
    </w:p>
    <w:p w:rsidR="008F0EAA" w:rsidRDefault="008F0EAA" w:rsidP="005F552B">
      <w:pPr>
        <w:spacing w:after="0"/>
        <w:ind w:left="360"/>
        <w:rPr>
          <w:sz w:val="20"/>
          <w:szCs w:val="20"/>
        </w:rPr>
      </w:pPr>
    </w:p>
    <w:p w:rsidR="008F0EAA" w:rsidRDefault="008F0EA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For søkere som får innvilget tilskudd til etablering eller utbedringstilskudd – skal også disse dokumentene sendes til </w:t>
      </w:r>
      <w:proofErr w:type="spellStart"/>
      <w:r>
        <w:rPr>
          <w:sz w:val="20"/>
          <w:szCs w:val="20"/>
        </w:rPr>
        <w:t>Lindorff</w:t>
      </w:r>
      <w:proofErr w:type="spellEnd"/>
      <w:r>
        <w:rPr>
          <w:sz w:val="20"/>
          <w:szCs w:val="20"/>
        </w:rPr>
        <w:t>, låneadministrasjon.</w:t>
      </w:r>
    </w:p>
    <w:p w:rsidR="008F0EAA" w:rsidRDefault="008F0EAA" w:rsidP="005F552B">
      <w:pPr>
        <w:spacing w:after="0"/>
        <w:ind w:left="360"/>
        <w:rPr>
          <w:sz w:val="20"/>
          <w:szCs w:val="20"/>
        </w:rPr>
      </w:pP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4A8A" w:rsidTr="00F7683E">
        <w:tc>
          <w:tcPr>
            <w:tcW w:w="1812" w:type="dxa"/>
          </w:tcPr>
          <w:p w:rsidR="00A54A8A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Utgave:</w:t>
            </w:r>
          </w:p>
          <w:p w:rsidR="00A54A8A" w:rsidRPr="0061136B" w:rsidRDefault="00A54A8A" w:rsidP="00F7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A54A8A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Skrevet av:</w:t>
            </w:r>
          </w:p>
          <w:p w:rsidR="00A54A8A" w:rsidRPr="0061136B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Tove Haug</w:t>
            </w:r>
          </w:p>
        </w:tc>
        <w:tc>
          <w:tcPr>
            <w:tcW w:w="1812" w:type="dxa"/>
          </w:tcPr>
          <w:p w:rsidR="00A54A8A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Gjelder fra:</w:t>
            </w:r>
          </w:p>
          <w:p w:rsidR="00A54A8A" w:rsidRPr="0061136B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</w:t>
            </w:r>
          </w:p>
        </w:tc>
        <w:tc>
          <w:tcPr>
            <w:tcW w:w="1813" w:type="dxa"/>
          </w:tcPr>
          <w:p w:rsidR="00A54A8A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Godkjent av:</w:t>
            </w:r>
          </w:p>
          <w:p w:rsidR="00A54A8A" w:rsidRPr="0061136B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Ørjan Hansen</w:t>
            </w:r>
          </w:p>
        </w:tc>
        <w:tc>
          <w:tcPr>
            <w:tcW w:w="1813" w:type="dxa"/>
          </w:tcPr>
          <w:p w:rsidR="00A54A8A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nr.:</w:t>
            </w:r>
          </w:p>
          <w:p w:rsidR="00A54A8A" w:rsidRPr="0061136B" w:rsidRDefault="00A54A8A" w:rsidP="00F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av 2</w:t>
            </w:r>
          </w:p>
        </w:tc>
      </w:tr>
    </w:tbl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A54A8A" w:rsidRPr="00A54A8A" w:rsidRDefault="00A54A8A" w:rsidP="005F552B">
      <w:pPr>
        <w:spacing w:after="0"/>
        <w:ind w:left="360"/>
        <w:rPr>
          <w:b/>
        </w:rPr>
      </w:pPr>
      <w:r w:rsidRPr="00A54A8A">
        <w:rPr>
          <w:b/>
        </w:rPr>
        <w:t>4.1 Utbetaling</w:t>
      </w:r>
    </w:p>
    <w:p w:rsidR="00A54A8A" w:rsidRDefault="00A54A8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Saksbehandler år leser</w:t>
      </w:r>
      <w:r w:rsidR="00B151FF">
        <w:rPr>
          <w:sz w:val="20"/>
          <w:szCs w:val="20"/>
        </w:rPr>
        <w:t xml:space="preserve">tilgang til </w:t>
      </w:r>
      <w:proofErr w:type="spellStart"/>
      <w:r w:rsidR="00B151FF">
        <w:rPr>
          <w:sz w:val="20"/>
          <w:szCs w:val="20"/>
        </w:rPr>
        <w:t>Lindorffs</w:t>
      </w:r>
      <w:proofErr w:type="spellEnd"/>
      <w:r w:rsidR="00B151FF">
        <w:rPr>
          <w:sz w:val="20"/>
          <w:szCs w:val="20"/>
        </w:rPr>
        <w:t xml:space="preserve"> </w:t>
      </w:r>
      <w:proofErr w:type="spellStart"/>
      <w:r w:rsidR="00B151FF">
        <w:rPr>
          <w:sz w:val="20"/>
          <w:szCs w:val="20"/>
        </w:rPr>
        <w:t>weblån</w:t>
      </w:r>
      <w:proofErr w:type="spellEnd"/>
      <w:r>
        <w:rPr>
          <w:sz w:val="20"/>
          <w:szCs w:val="20"/>
        </w:rPr>
        <w:t>, slik at saksbehandler kan følge med når sikkerhetsdokumentene er klare.</w:t>
      </w:r>
      <w:r w:rsidR="00B151FF">
        <w:rPr>
          <w:sz w:val="20"/>
          <w:szCs w:val="20"/>
        </w:rPr>
        <w:t xml:space="preserve"> Utbetaling skjer av økonomienheten i Vestvågøy kommune.</w:t>
      </w: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A54A8A" w:rsidRDefault="00A54A8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Når sikkerhetsdokumentene er klare, kan lån/tilskudd utbetales.</w:t>
      </w:r>
      <w:r w:rsidR="00B151FF">
        <w:rPr>
          <w:sz w:val="20"/>
          <w:szCs w:val="20"/>
        </w:rPr>
        <w:t xml:space="preserve"> </w:t>
      </w:r>
    </w:p>
    <w:p w:rsidR="00A54A8A" w:rsidRDefault="00A54A8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Saksbehandler sender utbetalingsa</w:t>
      </w:r>
      <w:r w:rsidR="00B151FF">
        <w:rPr>
          <w:sz w:val="20"/>
          <w:szCs w:val="20"/>
        </w:rPr>
        <w:t>nvisning til økonomiavdelingen, anvisningen skal være signert av saksbehandler og f</w:t>
      </w:r>
      <w:bookmarkStart w:id="0" w:name="_GoBack"/>
      <w:bookmarkEnd w:id="0"/>
      <w:r w:rsidR="00B151FF">
        <w:rPr>
          <w:sz w:val="20"/>
          <w:szCs w:val="20"/>
        </w:rPr>
        <w:t xml:space="preserve">agansvarlig/avdelingsleder. </w:t>
      </w:r>
      <w:r>
        <w:rPr>
          <w:sz w:val="20"/>
          <w:szCs w:val="20"/>
        </w:rPr>
        <w:t xml:space="preserve">Når denne sendes skal også gebyr </w:t>
      </w:r>
      <w:r w:rsidR="00B151FF">
        <w:rPr>
          <w:sz w:val="20"/>
          <w:szCs w:val="20"/>
        </w:rPr>
        <w:t>f</w:t>
      </w:r>
      <w:r>
        <w:rPr>
          <w:sz w:val="20"/>
          <w:szCs w:val="20"/>
        </w:rPr>
        <w:t xml:space="preserve">or </w:t>
      </w:r>
      <w:proofErr w:type="spellStart"/>
      <w:r>
        <w:rPr>
          <w:sz w:val="20"/>
          <w:szCs w:val="20"/>
        </w:rPr>
        <w:t>sikkerhetsdokumenter</w:t>
      </w:r>
      <w:proofErr w:type="spellEnd"/>
      <w:r>
        <w:rPr>
          <w:sz w:val="20"/>
          <w:szCs w:val="20"/>
        </w:rPr>
        <w:t xml:space="preserve"> legges inn. </w:t>
      </w:r>
    </w:p>
    <w:p w:rsidR="00A54A8A" w:rsidRDefault="00A54A8A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Gebyret er kr 3.143</w:t>
      </w:r>
      <w:r w:rsidR="00B151FF">
        <w:rPr>
          <w:sz w:val="20"/>
          <w:szCs w:val="20"/>
        </w:rPr>
        <w:t xml:space="preserve">.- skal betales til konto 7016.05.01837 med referanse til </w:t>
      </w:r>
      <w:proofErr w:type="spellStart"/>
      <w:r w:rsidR="00B151FF">
        <w:rPr>
          <w:sz w:val="20"/>
          <w:szCs w:val="20"/>
        </w:rPr>
        <w:t>lånenummer</w:t>
      </w:r>
      <w:proofErr w:type="spellEnd"/>
      <w:r w:rsidR="00B151FF">
        <w:rPr>
          <w:sz w:val="20"/>
          <w:szCs w:val="20"/>
        </w:rPr>
        <w:t>.</w:t>
      </w:r>
    </w:p>
    <w:p w:rsidR="00B151FF" w:rsidRDefault="00B151FF" w:rsidP="005F552B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Dersom det er gitt tilskudd sammen med lånet kommer kr 524.- i tillegg or tilskuddet.</w:t>
      </w:r>
    </w:p>
    <w:p w:rsidR="00A54A8A" w:rsidRDefault="00A54A8A" w:rsidP="005F552B">
      <w:pPr>
        <w:spacing w:after="0"/>
        <w:ind w:left="360"/>
        <w:rPr>
          <w:sz w:val="20"/>
          <w:szCs w:val="20"/>
        </w:rPr>
      </w:pPr>
    </w:p>
    <w:p w:rsidR="008F0EAA" w:rsidRPr="005F552B" w:rsidRDefault="008F0EAA" w:rsidP="005F552B">
      <w:pPr>
        <w:spacing w:after="0"/>
        <w:ind w:left="360"/>
        <w:rPr>
          <w:sz w:val="20"/>
          <w:szCs w:val="20"/>
        </w:rPr>
      </w:pPr>
    </w:p>
    <w:p w:rsidR="0061136B" w:rsidRDefault="0061136B" w:rsidP="00C7278F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Interne referanser</w:t>
      </w:r>
    </w:p>
    <w:p w:rsidR="00C7278F" w:rsidRDefault="00074443" w:rsidP="00B151FF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Rutine NAV.STA-</w:t>
      </w:r>
      <w:r w:rsidR="009E6048">
        <w:rPr>
          <w:sz w:val="20"/>
          <w:szCs w:val="20"/>
        </w:rPr>
        <w:t>05</w:t>
      </w:r>
      <w:r w:rsidR="009E6048">
        <w:rPr>
          <w:sz w:val="20"/>
          <w:szCs w:val="20"/>
        </w:rPr>
        <w:tab/>
        <w:t>Rutine for saksbehandling av startlån og tilskudd</w:t>
      </w:r>
    </w:p>
    <w:p w:rsidR="00B151FF" w:rsidRPr="00074443" w:rsidRDefault="00B151FF" w:rsidP="00074443">
      <w:pPr>
        <w:ind w:left="360"/>
        <w:rPr>
          <w:sz w:val="20"/>
          <w:szCs w:val="20"/>
        </w:rPr>
      </w:pPr>
      <w:r>
        <w:rPr>
          <w:sz w:val="20"/>
          <w:szCs w:val="20"/>
        </w:rPr>
        <w:t>Anvisningsplanlett startlån - tilskudd</w:t>
      </w:r>
    </w:p>
    <w:p w:rsidR="0061136B" w:rsidRDefault="0061136B" w:rsidP="00C7278F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Eksterne referanser</w:t>
      </w:r>
    </w:p>
    <w:p w:rsidR="00C7278F" w:rsidRDefault="00B91D0A" w:rsidP="00C7278F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Forskrift om startlån</w:t>
      </w:r>
      <w:r w:rsidR="009F40D5">
        <w:rPr>
          <w:sz w:val="20"/>
          <w:szCs w:val="20"/>
        </w:rPr>
        <w:t xml:space="preserve"> (</w:t>
      </w:r>
      <w:hyperlink r:id="rId6" w:history="1">
        <w:r w:rsidR="009F40D5" w:rsidRPr="008337AA">
          <w:rPr>
            <w:rStyle w:val="Hyperkobling"/>
            <w:sz w:val="20"/>
            <w:szCs w:val="20"/>
          </w:rPr>
          <w:t>www.husbanken.no</w:t>
        </w:r>
      </w:hyperlink>
      <w:r w:rsidR="009F40D5">
        <w:rPr>
          <w:sz w:val="20"/>
          <w:szCs w:val="20"/>
        </w:rPr>
        <w:t>)</w:t>
      </w:r>
    </w:p>
    <w:p w:rsidR="008F0EAA" w:rsidRDefault="008F0EAA" w:rsidP="00C7278F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Avtale med </w:t>
      </w:r>
      <w:proofErr w:type="spellStart"/>
      <w:r>
        <w:rPr>
          <w:sz w:val="20"/>
          <w:szCs w:val="20"/>
        </w:rPr>
        <w:t>Lindorff</w:t>
      </w:r>
      <w:proofErr w:type="spellEnd"/>
    </w:p>
    <w:p w:rsidR="00B37607" w:rsidRDefault="00B37607" w:rsidP="00C7278F">
      <w:pPr>
        <w:spacing w:after="0"/>
        <w:ind w:left="360"/>
        <w:rPr>
          <w:sz w:val="20"/>
          <w:szCs w:val="20"/>
        </w:rPr>
      </w:pPr>
    </w:p>
    <w:p w:rsidR="00B37607" w:rsidRDefault="00B37607" w:rsidP="00C7278F">
      <w:pPr>
        <w:spacing w:after="0"/>
        <w:ind w:left="360"/>
        <w:rPr>
          <w:sz w:val="20"/>
          <w:szCs w:val="20"/>
        </w:rPr>
      </w:pPr>
    </w:p>
    <w:sectPr w:rsidR="00B3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64C"/>
    <w:multiLevelType w:val="hybridMultilevel"/>
    <w:tmpl w:val="F08AA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8B4"/>
    <w:multiLevelType w:val="hybridMultilevel"/>
    <w:tmpl w:val="51B6418A"/>
    <w:lvl w:ilvl="0" w:tplc="FC804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F1461"/>
    <w:multiLevelType w:val="hybridMultilevel"/>
    <w:tmpl w:val="23A26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4B37"/>
    <w:multiLevelType w:val="hybridMultilevel"/>
    <w:tmpl w:val="171E2A9E"/>
    <w:lvl w:ilvl="0" w:tplc="202CA3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527B"/>
    <w:multiLevelType w:val="multilevel"/>
    <w:tmpl w:val="7570D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81"/>
    <w:rsid w:val="00074443"/>
    <w:rsid w:val="000F3832"/>
    <w:rsid w:val="00187D7C"/>
    <w:rsid w:val="001B32A8"/>
    <w:rsid w:val="00234A95"/>
    <w:rsid w:val="002711D0"/>
    <w:rsid w:val="002C323D"/>
    <w:rsid w:val="00393A0C"/>
    <w:rsid w:val="003B2D98"/>
    <w:rsid w:val="0047136F"/>
    <w:rsid w:val="004929E0"/>
    <w:rsid w:val="004A25BC"/>
    <w:rsid w:val="004B07BC"/>
    <w:rsid w:val="004C68FD"/>
    <w:rsid w:val="005F552B"/>
    <w:rsid w:val="006107D5"/>
    <w:rsid w:val="0061136B"/>
    <w:rsid w:val="006F38D5"/>
    <w:rsid w:val="006F495F"/>
    <w:rsid w:val="00847864"/>
    <w:rsid w:val="00856978"/>
    <w:rsid w:val="008F0EAA"/>
    <w:rsid w:val="00994D81"/>
    <w:rsid w:val="009E6048"/>
    <w:rsid w:val="009F40D5"/>
    <w:rsid w:val="00A134A9"/>
    <w:rsid w:val="00A23785"/>
    <w:rsid w:val="00A42768"/>
    <w:rsid w:val="00A54A8A"/>
    <w:rsid w:val="00B151FF"/>
    <w:rsid w:val="00B37607"/>
    <w:rsid w:val="00B8678D"/>
    <w:rsid w:val="00B91D0A"/>
    <w:rsid w:val="00C372BF"/>
    <w:rsid w:val="00C62187"/>
    <w:rsid w:val="00C7278F"/>
    <w:rsid w:val="00DF3C10"/>
    <w:rsid w:val="00F0582D"/>
    <w:rsid w:val="00F221D3"/>
    <w:rsid w:val="00F27141"/>
    <w:rsid w:val="00F779A7"/>
    <w:rsid w:val="00F9493E"/>
    <w:rsid w:val="00F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1780"/>
  <w15:chartTrackingRefBased/>
  <w15:docId w15:val="{7EBC1B93-D383-4F76-89C5-84208093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13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40D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sbank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59CA-A645-4D2D-8169-A428950A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Haug, Tove Kamilla Elisabeth Fredrik</dc:creator>
  <cp:keywords/>
  <dc:description/>
  <cp:lastModifiedBy>Haug, Tove Kamilla Elisabeth Fredrik</cp:lastModifiedBy>
  <cp:revision>7</cp:revision>
  <cp:lastPrinted>2019-01-14T12:00:00Z</cp:lastPrinted>
  <dcterms:created xsi:type="dcterms:W3CDTF">2019-01-14T12:03:00Z</dcterms:created>
  <dcterms:modified xsi:type="dcterms:W3CDTF">2019-02-04T07:55:00Z</dcterms:modified>
</cp:coreProperties>
</file>