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Pr="0091708B" w:rsidRDefault="0048458A">
      <w:pPr>
        <w:rPr>
          <w:b/>
          <w:sz w:val="28"/>
        </w:rPr>
      </w:pPr>
      <w:r w:rsidRPr="0091708B">
        <w:rPr>
          <w:b/>
          <w:sz w:val="28"/>
        </w:rPr>
        <w:t xml:space="preserve"> </w:t>
      </w:r>
      <w:r w:rsidR="0091708B" w:rsidRPr="0091708B">
        <w:rPr>
          <w:b/>
          <w:sz w:val="28"/>
        </w:rPr>
        <w:t xml:space="preserve">Gjennomsnittlig stillingsprosent </w:t>
      </w:r>
      <w:r w:rsidR="001C3DE9">
        <w:rPr>
          <w:b/>
          <w:sz w:val="28"/>
        </w:rPr>
        <w:t xml:space="preserve">for </w:t>
      </w:r>
      <w:r w:rsidR="00122DD9">
        <w:rPr>
          <w:b/>
          <w:sz w:val="28"/>
        </w:rPr>
        <w:t xml:space="preserve">Sektor </w:t>
      </w:r>
      <w:r w:rsidR="002F2584">
        <w:rPr>
          <w:b/>
          <w:sz w:val="28"/>
        </w:rPr>
        <w:t>Leknes Øst</w:t>
      </w:r>
      <w:r w:rsidR="001C3DE9">
        <w:rPr>
          <w:b/>
          <w:sz w:val="28"/>
        </w:rPr>
        <w:t>:</w:t>
      </w:r>
    </w:p>
    <w:p w:rsidR="0091708B" w:rsidRDefault="002F2584">
      <w:r>
        <w:rPr>
          <w:noProof/>
          <w:lang w:eastAsia="nb-NO"/>
        </w:rPr>
        <w:drawing>
          <wp:anchor distT="0" distB="0" distL="114300" distR="114300" simplePos="0" relativeHeight="251794432" behindDoc="0" locked="0" layoutInCell="1" allowOverlap="1" wp14:anchorId="1ACFD106" wp14:editId="31929CD6">
            <wp:simplePos x="0" y="0"/>
            <wp:positionH relativeFrom="column">
              <wp:posOffset>167005</wp:posOffset>
            </wp:positionH>
            <wp:positionV relativeFrom="paragraph">
              <wp:posOffset>51435</wp:posOffset>
            </wp:positionV>
            <wp:extent cx="4562475" cy="3509645"/>
            <wp:effectExtent l="0" t="0" r="9525" b="1460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37">
        <w:rPr>
          <w:noProof/>
          <w:lang w:eastAsia="nb-NO"/>
        </w:rPr>
        <w:t xml:space="preserve"> </w:t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B045AE" w:rsidRDefault="00B045AE"/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122DD9">
        <w:rPr>
          <w:b/>
          <w:sz w:val="28"/>
        </w:rPr>
        <w:t xml:space="preserve">Sektor </w:t>
      </w:r>
      <w:r w:rsidR="002F2584">
        <w:rPr>
          <w:b/>
          <w:sz w:val="28"/>
        </w:rPr>
        <w:t>Leknes Øst</w:t>
      </w:r>
      <w:r w:rsidRPr="0091708B">
        <w:rPr>
          <w:b/>
          <w:sz w:val="28"/>
        </w:rPr>
        <w:t>, fordelt på faggrupper:</w:t>
      </w:r>
    </w:p>
    <w:p w:rsidR="0091708B" w:rsidRDefault="002F2584">
      <w:r>
        <w:rPr>
          <w:noProof/>
          <w:lang w:eastAsia="nb-NO"/>
        </w:rPr>
        <w:drawing>
          <wp:anchor distT="0" distB="0" distL="114300" distR="114300" simplePos="0" relativeHeight="251796480" behindDoc="0" locked="0" layoutInCell="1" allowOverlap="1" wp14:anchorId="5A6F5684" wp14:editId="7C56EB8D">
            <wp:simplePos x="0" y="0"/>
            <wp:positionH relativeFrom="column">
              <wp:posOffset>321310</wp:posOffset>
            </wp:positionH>
            <wp:positionV relativeFrom="paragraph">
              <wp:posOffset>96520</wp:posOffset>
            </wp:positionV>
            <wp:extent cx="4572000" cy="2743200"/>
            <wp:effectExtent l="0" t="0" r="1905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Default="00B045AE"/>
    <w:p w:rsidR="004A6D15" w:rsidRDefault="004A6D15">
      <w:pPr>
        <w:rPr>
          <w:b/>
        </w:rPr>
      </w:pPr>
    </w:p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 (ferie 6% ikke medregnet).</w:t>
      </w:r>
    </w:p>
    <w:p w:rsidR="00D35C0F" w:rsidRDefault="004B3696" w:rsidP="00B045AE">
      <w:pPr>
        <w:pStyle w:val="Listeavsnitt"/>
        <w:numPr>
          <w:ilvl w:val="0"/>
          <w:numId w:val="1"/>
        </w:numPr>
      </w:pPr>
      <w:r>
        <w:t>L</w:t>
      </w:r>
      <w:r w:rsidR="00D35C0F">
        <w:t>edige</w:t>
      </w:r>
      <w:r>
        <w:t xml:space="preserve"> </w:t>
      </w:r>
      <w:r w:rsidR="00D35C0F">
        <w:t>hjemler, stort fravær</w:t>
      </w:r>
      <w:r w:rsidR="003D7D51">
        <w:t>, mange vikarer</w:t>
      </w:r>
      <w:r>
        <w:t>, kan være årsak til et så pass lavt resultat. Usikert om</w:t>
      </w:r>
      <w:r w:rsidR="00122DD9">
        <w:t xml:space="preserve"> fler</w:t>
      </w:r>
      <w:r>
        <w:t>e</w:t>
      </w:r>
      <w:r w:rsidR="00122DD9">
        <w:t xml:space="preserve"> burde vært strøket ut av årsturnus, </w:t>
      </w:r>
      <w:r>
        <w:t xml:space="preserve">altså </w:t>
      </w:r>
      <w:r w:rsidR="00122DD9">
        <w:t>som ikke er inne og tar vakter</w:t>
      </w:r>
      <w:r>
        <w:t xml:space="preserve"> lenger.</w:t>
      </w:r>
    </w:p>
    <w:p w:rsidR="00B045AE" w:rsidRDefault="00B045AE"/>
    <w:p w:rsidR="00D35C0F" w:rsidRPr="00D35C0F" w:rsidRDefault="002F2584">
      <w:pPr>
        <w:rPr>
          <w:b/>
        </w:rPr>
      </w:pPr>
      <w:r w:rsidRPr="00D35C0F">
        <w:rPr>
          <w:b/>
        </w:rPr>
        <w:t xml:space="preserve"> </w:t>
      </w:r>
      <w:r w:rsidR="00D35C0F" w:rsidRPr="00D35C0F">
        <w:rPr>
          <w:b/>
        </w:rPr>
        <w:t>Andel ansatte i 70-100% stilling:</w:t>
      </w:r>
    </w:p>
    <w:p w:rsidR="0091708B" w:rsidRDefault="002F2584">
      <w:r>
        <w:rPr>
          <w:noProof/>
          <w:lang w:eastAsia="nb-NO"/>
        </w:rPr>
        <w:drawing>
          <wp:anchor distT="0" distB="0" distL="114300" distR="114300" simplePos="0" relativeHeight="251798528" behindDoc="0" locked="0" layoutInCell="1" allowOverlap="1" wp14:anchorId="524A9F59" wp14:editId="13CFF306">
            <wp:simplePos x="0" y="0"/>
            <wp:positionH relativeFrom="column">
              <wp:posOffset>85725</wp:posOffset>
            </wp:positionH>
            <wp:positionV relativeFrom="paragraph">
              <wp:posOffset>8890</wp:posOffset>
            </wp:positionV>
            <wp:extent cx="4572000" cy="2743200"/>
            <wp:effectExtent l="0" t="0" r="1905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bookmarkStart w:id="0" w:name="_GoBack"/>
      <w:bookmarkEnd w:id="0"/>
      <w:r>
        <w:t xml:space="preserve">I turnus vil </w:t>
      </w:r>
      <w:r w:rsidR="001C3DE9">
        <w:t>ca.</w:t>
      </w:r>
      <w:r>
        <w:t xml:space="preserve"> 75% stilling </w:t>
      </w:r>
      <w:r w:rsidR="001C3DE9">
        <w:t>gi</w:t>
      </w:r>
      <w:r>
        <w:t xml:space="preserve"> utbetalt lønn og tillegg som utgjør en vanlig årslønn.</w:t>
      </w:r>
    </w:p>
    <w:p w:rsidR="009B64A6" w:rsidRDefault="002F2584" w:rsidP="00B045AE">
      <w:pPr>
        <w:pStyle w:val="Listeavsnitt"/>
        <w:numPr>
          <w:ilvl w:val="0"/>
          <w:numId w:val="1"/>
        </w:numPr>
      </w:pPr>
      <w:r>
        <w:t>Fagarbeidergruppa kommer relativt dårlig ut, hvor 2 av 3 har under 70% stilling.</w:t>
      </w:r>
      <w:r w:rsidR="00122DD9">
        <w:t xml:space="preserve"> </w:t>
      </w:r>
    </w:p>
    <w:p w:rsidR="004B3696" w:rsidRDefault="004B3696">
      <w:pPr>
        <w:rPr>
          <w:b/>
        </w:rPr>
      </w:pPr>
    </w:p>
    <w:p w:rsidR="00D448CF" w:rsidRPr="00D448CF" w:rsidRDefault="002F2584">
      <w:pPr>
        <w:rPr>
          <w:b/>
        </w:rPr>
      </w:pPr>
      <w:r w:rsidRPr="00D448CF">
        <w:rPr>
          <w:b/>
        </w:rPr>
        <w:t xml:space="preserve"> </w:t>
      </w:r>
      <w:r w:rsidR="00D448CF" w:rsidRPr="00D448CF">
        <w:rPr>
          <w:b/>
        </w:rPr>
        <w:t>Fast ansatte og vikarer – hvor mange deler på de totale stillingsressursene?</w:t>
      </w:r>
    </w:p>
    <w:p w:rsidR="0091708B" w:rsidRDefault="002F2584">
      <w:r>
        <w:rPr>
          <w:noProof/>
          <w:lang w:eastAsia="nb-NO"/>
        </w:rPr>
        <w:drawing>
          <wp:anchor distT="0" distB="0" distL="114300" distR="114300" simplePos="0" relativeHeight="251800576" behindDoc="0" locked="0" layoutInCell="1" allowOverlap="1" wp14:anchorId="2BE60370" wp14:editId="321EB5C8">
            <wp:simplePos x="0" y="0"/>
            <wp:positionH relativeFrom="column">
              <wp:posOffset>32385</wp:posOffset>
            </wp:positionH>
            <wp:positionV relativeFrom="paragraph">
              <wp:posOffset>98425</wp:posOffset>
            </wp:positionV>
            <wp:extent cx="4572000" cy="2743200"/>
            <wp:effectExtent l="0" t="0" r="19050" b="190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EA5A36" w:rsidRDefault="00EA5A36"/>
    <w:p w:rsidR="00EA5A36" w:rsidRDefault="00EA5A36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ofte sykefravær, permisjoner, </w:t>
      </w:r>
      <w:r w:rsidR="006E357A">
        <w:t>beboere med økt behov for oppfølging, mv.</w:t>
      </w:r>
    </w:p>
    <w:p w:rsidR="004B3696" w:rsidRDefault="00C87DA8" w:rsidP="00D77DE7">
      <w:pPr>
        <w:pStyle w:val="Listeavsnitt"/>
        <w:numPr>
          <w:ilvl w:val="0"/>
          <w:numId w:val="2"/>
        </w:numPr>
      </w:pPr>
      <w:r>
        <w:t xml:space="preserve">At det er </w:t>
      </w:r>
      <w:r w:rsidR="002F2584">
        <w:t>79</w:t>
      </w:r>
      <w:r w:rsidR="00EA5A36">
        <w:t>% flere</w:t>
      </w:r>
      <w:r>
        <w:t xml:space="preserve"> inne og jobber </w:t>
      </w:r>
      <w:r w:rsidR="00EA5A36">
        <w:t xml:space="preserve">enn </w:t>
      </w:r>
      <w:r>
        <w:t xml:space="preserve">planlagt </w:t>
      </w:r>
      <w:r w:rsidR="004B3696">
        <w:t>kan være</w:t>
      </w:r>
      <w:r>
        <w:t xml:space="preserve"> en indikator på noe</w:t>
      </w:r>
      <w:r w:rsidR="004B3696">
        <w:t>, men usikkert hva. Konsekvensene kan være redusert kvalitet/kontinuitet/kompetanse ut til bruker.</w:t>
      </w:r>
    </w:p>
    <w:p w:rsidR="00B045AE" w:rsidRDefault="002F2584" w:rsidP="00471D68">
      <w:pPr>
        <w:pStyle w:val="Listeavsnitt"/>
        <w:numPr>
          <w:ilvl w:val="0"/>
          <w:numId w:val="2"/>
        </w:numPr>
      </w:pPr>
      <w:r>
        <w:t>43</w:t>
      </w:r>
      <w:r w:rsidR="003A3F3A">
        <w:t xml:space="preserve"> i årsturnus – da er det trukket fra de 5 som </w:t>
      </w:r>
      <w:r w:rsidR="004B3696">
        <w:t>jf tilbakemelding fra avdelingsleder.</w:t>
      </w:r>
    </w:p>
    <w:p w:rsidR="00B045AE" w:rsidRDefault="00B045AE"/>
    <w:p w:rsidR="00D448CF" w:rsidRPr="00B60870" w:rsidRDefault="00B60870">
      <w:pPr>
        <w:rPr>
          <w:b/>
        </w:rPr>
      </w:pPr>
      <w:r>
        <w:rPr>
          <w:b/>
        </w:rPr>
        <w:t>V</w:t>
      </w:r>
      <w:r w:rsidR="00C87DA8">
        <w:rPr>
          <w:b/>
        </w:rPr>
        <w:t xml:space="preserve">akante stillinger i turnus: </w:t>
      </w:r>
    </w:p>
    <w:p w:rsidR="0091708B" w:rsidRDefault="002F2584">
      <w:r>
        <w:rPr>
          <w:noProof/>
          <w:lang w:eastAsia="nb-NO"/>
        </w:rPr>
        <w:drawing>
          <wp:anchor distT="0" distB="0" distL="114300" distR="114300" simplePos="0" relativeHeight="251802624" behindDoc="0" locked="0" layoutInCell="1" allowOverlap="1" wp14:anchorId="08A4A3F8" wp14:editId="538F6EE5">
            <wp:simplePos x="0" y="0"/>
            <wp:positionH relativeFrom="column">
              <wp:posOffset>-4717</wp:posOffset>
            </wp:positionH>
            <wp:positionV relativeFrom="paragraph">
              <wp:posOffset>4107</wp:posOffset>
            </wp:positionV>
            <wp:extent cx="4572000" cy="2743200"/>
            <wp:effectExtent l="0" t="0" r="19050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DA8" w:rsidRDefault="00C87DA8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7C5188" w:rsidRDefault="007C5188">
      <w:pPr>
        <w:rPr>
          <w:sz w:val="24"/>
        </w:rPr>
      </w:pPr>
    </w:p>
    <w:p w:rsidR="00B60870" w:rsidRDefault="00B60870">
      <w:pPr>
        <w:rPr>
          <w:sz w:val="24"/>
        </w:rPr>
      </w:pPr>
    </w:p>
    <w:p w:rsidR="006E357A" w:rsidRPr="004B3696" w:rsidRDefault="006E357A">
      <w:pPr>
        <w:rPr>
          <w:b/>
          <w:sz w:val="24"/>
        </w:rPr>
      </w:pPr>
      <w:r w:rsidRPr="004B3696">
        <w:rPr>
          <w:b/>
          <w:sz w:val="24"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  <w:rPr>
          <w:sz w:val="24"/>
        </w:rPr>
      </w:pPr>
      <w:r w:rsidRPr="006E357A">
        <w:rPr>
          <w:sz w:val="24"/>
        </w:rPr>
        <w:t>Vakante stillinger er det som fremkommer som vakant i årsturnus</w:t>
      </w:r>
      <w:r w:rsidR="004A6D15">
        <w:rPr>
          <w:sz w:val="24"/>
        </w:rPr>
        <w:t>.</w:t>
      </w:r>
    </w:p>
    <w:p w:rsidR="009B64A6" w:rsidRDefault="009B64A6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Vakanser er uønsket ift drift, og er med å bidra til vikarinnleie, bytting av vakter, mer å administrere for leder. </w:t>
      </w:r>
    </w:p>
    <w:p w:rsidR="008E4C07" w:rsidRPr="006E357A" w:rsidRDefault="002F2584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21</w:t>
      </w:r>
      <w:r w:rsidR="008E4C07">
        <w:rPr>
          <w:sz w:val="24"/>
        </w:rPr>
        <w:t xml:space="preserve">% er relativt </w:t>
      </w:r>
      <w:r w:rsidR="00103093">
        <w:rPr>
          <w:sz w:val="24"/>
        </w:rPr>
        <w:t>mye</w:t>
      </w:r>
      <w:r w:rsidR="008E4C07">
        <w:rPr>
          <w:sz w:val="24"/>
        </w:rPr>
        <w:t>.</w:t>
      </w:r>
      <w:r w:rsidR="00D422EA">
        <w:rPr>
          <w:sz w:val="24"/>
        </w:rPr>
        <w:t xml:space="preserve"> </w:t>
      </w:r>
    </w:p>
    <w:p w:rsidR="006E357A" w:rsidRDefault="006E357A">
      <w:pPr>
        <w:rPr>
          <w:sz w:val="24"/>
        </w:rPr>
      </w:pPr>
    </w:p>
    <w:p w:rsidR="006E357A" w:rsidRPr="001D40C3" w:rsidRDefault="006E357A">
      <w:pPr>
        <w:rPr>
          <w:sz w:val="24"/>
        </w:rPr>
      </w:pPr>
    </w:p>
    <w:p w:rsidR="00B045AE" w:rsidRDefault="00B045AE"/>
    <w:p w:rsidR="00B045AE" w:rsidRDefault="00B045AE">
      <w:r>
        <w:br w:type="page"/>
      </w:r>
    </w:p>
    <w:p w:rsidR="00B045AE" w:rsidRDefault="00B045AE" w:rsidP="00B045AE">
      <w:pPr>
        <w:rPr>
          <w:b/>
          <w:sz w:val="28"/>
        </w:rPr>
      </w:pPr>
      <w:r w:rsidRPr="007C5188">
        <w:rPr>
          <w:b/>
          <w:sz w:val="28"/>
        </w:rPr>
        <w:lastRenderedPageBreak/>
        <w:t>Variasjon i drift (årsak til differanse mellom planlagt og faktisk drift)</w:t>
      </w:r>
    </w:p>
    <w:p w:rsidR="008E4C07" w:rsidRDefault="002F2584">
      <w:r>
        <w:rPr>
          <w:noProof/>
          <w:lang w:eastAsia="nb-NO"/>
        </w:rPr>
        <w:drawing>
          <wp:anchor distT="0" distB="0" distL="114300" distR="114300" simplePos="0" relativeHeight="251804672" behindDoc="0" locked="0" layoutInCell="1" allowOverlap="1" wp14:anchorId="34268B9C" wp14:editId="45C69EE9">
            <wp:simplePos x="0" y="0"/>
            <wp:positionH relativeFrom="column">
              <wp:posOffset>321310</wp:posOffset>
            </wp:positionH>
            <wp:positionV relativeFrom="paragraph">
              <wp:posOffset>19190</wp:posOffset>
            </wp:positionV>
            <wp:extent cx="4572000" cy="2743200"/>
            <wp:effectExtent l="0" t="0" r="19050" b="1905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Pr="006E357A" w:rsidRDefault="006E357A">
      <w:pPr>
        <w:rPr>
          <w:b/>
        </w:rPr>
      </w:pPr>
      <w:r w:rsidRPr="006E357A">
        <w:rPr>
          <w:b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Hensikten er å vise at driften har uønsket variasjon</w:t>
      </w:r>
      <w:r w:rsidR="00630511">
        <w:t>, diff mellom planlagt og faktisk drift</w:t>
      </w:r>
      <w:r>
        <w:t xml:space="preserve">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  <w:r w:rsidR="001E3E44">
        <w:t xml:space="preserve"> (</w:t>
      </w:r>
      <w:r w:rsidR="002F2584">
        <w:t>21</w:t>
      </w:r>
      <w:r w:rsidR="00C87DA8">
        <w:t xml:space="preserve">% av stillingene i </w:t>
      </w:r>
      <w:r w:rsidR="001E3E44">
        <w:t xml:space="preserve"> </w:t>
      </w:r>
      <w:r w:rsidR="00122DD9">
        <w:t xml:space="preserve">Sektor </w:t>
      </w:r>
      <w:r w:rsidR="002F2584">
        <w:t>Leknes Øst</w:t>
      </w:r>
      <w:r w:rsidR="008E4C07">
        <w:t xml:space="preserve"> </w:t>
      </w:r>
      <w:r w:rsidR="001E3E44">
        <w:t>på målingstidspunktet)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Vikar</w:t>
      </w:r>
      <w:r w:rsidR="00630511">
        <w:t>/ekstra</w:t>
      </w:r>
      <w:r>
        <w:t>innleie er 1 uønsket variasjon</w:t>
      </w:r>
      <w:r w:rsidR="00630511">
        <w:t>, skyldes ofte fravær og variasjon i brukerbehov.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 og OK, og trekkes fra (utgjør ca 6% jf. budsjett/arena)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Total uønsket variasjon er da</w:t>
      </w:r>
      <w:r w:rsidR="00C87DA8">
        <w:t xml:space="preserve"> </w:t>
      </w:r>
      <w:r w:rsidR="002F2584">
        <w:t>24</w:t>
      </w:r>
      <w:r w:rsidR="00010CC0">
        <w:t>% ved</w:t>
      </w:r>
      <w:r w:rsidR="009C7A5A">
        <w:t xml:space="preserve"> </w:t>
      </w:r>
      <w:r w:rsidR="00122DD9">
        <w:t xml:space="preserve">Sektor </w:t>
      </w:r>
      <w:r w:rsidR="002F2584">
        <w:t>Leknes Øst</w:t>
      </w:r>
      <w:r w:rsidR="00630511">
        <w:t xml:space="preserve">. </w:t>
      </w:r>
      <w:r w:rsidR="003A3F3A">
        <w:t xml:space="preserve">Dette </w:t>
      </w:r>
      <w:r w:rsidR="00630511">
        <w:t>bidrar til at ansatte har lav</w:t>
      </w:r>
      <w:r w:rsidR="009C7A5A">
        <w:t>ere</w:t>
      </w:r>
      <w:r w:rsidR="00630511">
        <w:t xml:space="preserve"> stillingsprosent i praksis</w:t>
      </w:r>
      <w:r w:rsidR="009C7A5A">
        <w:t xml:space="preserve"> enn det som er planlagt</w:t>
      </w:r>
      <w:r w:rsidR="00630511">
        <w:t>.</w:t>
      </w:r>
      <w:r w:rsidR="008E4C07">
        <w:t xml:space="preserve"> </w:t>
      </w:r>
      <w:r w:rsidR="00C87DA8">
        <w:t>Mange vikarer vil være en konsekvens av dette.</w:t>
      </w:r>
      <w:r w:rsidR="004B3696">
        <w:t xml:space="preserve"> Ikke unormalt resultat for omsorgssektoren, men likevel høyt.</w:t>
      </w:r>
    </w:p>
    <w:p w:rsidR="006E357A" w:rsidRDefault="006E357A" w:rsidP="006E357A"/>
    <w:sectPr w:rsidR="006E357A" w:rsidSect="00D35C0F">
      <w:headerReference w:type="defaul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A7" w:rsidRDefault="005C0AA7" w:rsidP="00C733B5">
      <w:pPr>
        <w:spacing w:after="0" w:line="240" w:lineRule="auto"/>
      </w:pPr>
      <w:r>
        <w:separator/>
      </w:r>
    </w:p>
  </w:endnote>
  <w:endnote w:type="continuationSeparator" w:id="0">
    <w:p w:rsidR="005C0AA7" w:rsidRDefault="005C0AA7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A7" w:rsidRDefault="005C0AA7" w:rsidP="00C733B5">
      <w:pPr>
        <w:spacing w:after="0" w:line="240" w:lineRule="auto"/>
      </w:pPr>
      <w:r>
        <w:separator/>
      </w:r>
    </w:p>
  </w:footnote>
  <w:footnote w:type="continuationSeparator" w:id="0">
    <w:p w:rsidR="005C0AA7" w:rsidRDefault="005C0AA7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Det store heltidsvalget – nullpunktmåling jf heltid/deltid –</w:t>
    </w:r>
    <w:r w:rsidR="001C3DE9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103093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Sektor </w:t>
    </w:r>
    <w:r w:rsidR="002F2584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Leknes Øst</w:t>
    </w:r>
  </w:p>
  <w:p w:rsidR="00C733B5" w:rsidRPr="00C733B5" w:rsidRDefault="00C733B5" w:rsidP="00C733B5">
    <w:pPr>
      <w:pStyle w:val="Topptekst"/>
      <w:jc w:val="right"/>
      <w:rPr>
        <w:b/>
        <w:sz w:val="24"/>
      </w:rPr>
    </w:pPr>
    <w:r w:rsidRPr="00C733B5">
      <w:rPr>
        <w:b/>
        <w:sz w:val="24"/>
      </w:rPr>
      <w:t>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242"/>
    <w:multiLevelType w:val="hybridMultilevel"/>
    <w:tmpl w:val="A57E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B"/>
    <w:rsid w:val="00010CC0"/>
    <w:rsid w:val="0006275C"/>
    <w:rsid w:val="000A349D"/>
    <w:rsid w:val="000B3EF0"/>
    <w:rsid w:val="000F0D68"/>
    <w:rsid w:val="00103093"/>
    <w:rsid w:val="00121AF5"/>
    <w:rsid w:val="00122DD9"/>
    <w:rsid w:val="00185BE6"/>
    <w:rsid w:val="001C3DE9"/>
    <w:rsid w:val="001D40C3"/>
    <w:rsid w:val="001E3E44"/>
    <w:rsid w:val="002C51BE"/>
    <w:rsid w:val="002C78BE"/>
    <w:rsid w:val="002F2584"/>
    <w:rsid w:val="003005C7"/>
    <w:rsid w:val="00316318"/>
    <w:rsid w:val="00373768"/>
    <w:rsid w:val="00376B11"/>
    <w:rsid w:val="003A3F3A"/>
    <w:rsid w:val="003D7D51"/>
    <w:rsid w:val="003F0F44"/>
    <w:rsid w:val="004223B3"/>
    <w:rsid w:val="00434027"/>
    <w:rsid w:val="0048458A"/>
    <w:rsid w:val="004A6D15"/>
    <w:rsid w:val="004B3696"/>
    <w:rsid w:val="0056675F"/>
    <w:rsid w:val="005811B2"/>
    <w:rsid w:val="00592063"/>
    <w:rsid w:val="005A0A3C"/>
    <w:rsid w:val="005C0AA7"/>
    <w:rsid w:val="00610764"/>
    <w:rsid w:val="00630511"/>
    <w:rsid w:val="006A6703"/>
    <w:rsid w:val="006D009F"/>
    <w:rsid w:val="006E357A"/>
    <w:rsid w:val="00723AA9"/>
    <w:rsid w:val="007C5188"/>
    <w:rsid w:val="00873E26"/>
    <w:rsid w:val="008E4C07"/>
    <w:rsid w:val="0091708B"/>
    <w:rsid w:val="00932FC8"/>
    <w:rsid w:val="00947EFD"/>
    <w:rsid w:val="009B2235"/>
    <w:rsid w:val="009B64A6"/>
    <w:rsid w:val="009C7A5A"/>
    <w:rsid w:val="00A4145D"/>
    <w:rsid w:val="00AA6C5A"/>
    <w:rsid w:val="00AD3D91"/>
    <w:rsid w:val="00B045AE"/>
    <w:rsid w:val="00B4712D"/>
    <w:rsid w:val="00B60870"/>
    <w:rsid w:val="00B62DBC"/>
    <w:rsid w:val="00B90F37"/>
    <w:rsid w:val="00B975F3"/>
    <w:rsid w:val="00C14EC2"/>
    <w:rsid w:val="00C733B5"/>
    <w:rsid w:val="00C73D9D"/>
    <w:rsid w:val="00C87DA8"/>
    <w:rsid w:val="00D13F2D"/>
    <w:rsid w:val="00D35C0F"/>
    <w:rsid w:val="00D422EA"/>
    <w:rsid w:val="00D448CF"/>
    <w:rsid w:val="00DF33AA"/>
    <w:rsid w:val="00DF6934"/>
    <w:rsid w:val="00E05907"/>
    <w:rsid w:val="00E615F7"/>
    <w:rsid w:val="00EA5A36"/>
    <w:rsid w:val="00EB58AF"/>
    <w:rsid w:val="00EE0C8D"/>
    <w:rsid w:val="00F50F94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D1BB"/>
  <w15:docId w15:val="{E739BBAC-1058-49CB-911F-6B24AAC3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b-NO"/>
              <a:t>Gjennom-snitt st.% alle, PLANLAGT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'Leknes Øst'!$D$1</c:f>
              <c:strCache>
                <c:ptCount val="1"/>
                <c:pt idx="0">
                  <c:v>Gjennom-snitt st.% alle  FAG+ASS+ LÆRLING + HØGSK. 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'Leknes Øst'!$D$2</c:f>
              <c:numCache>
                <c:formatCode>0.00%</c:formatCode>
                <c:ptCount val="1"/>
                <c:pt idx="0">
                  <c:v>0.68333333333333324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2C-4FB9-9CF7-7E2BA44F3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99296"/>
        <c:axId val="213800832"/>
      </c:barChart>
      <c:catAx>
        <c:axId val="21379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3800832"/>
        <c:crosses val="autoZero"/>
        <c:auto val="1"/>
        <c:lblAlgn val="ctr"/>
        <c:lblOffset val="100"/>
        <c:noMultiLvlLbl val="0"/>
      </c:catAx>
      <c:valAx>
        <c:axId val="2138008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379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'Leknes Øst'!$M$9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'Leknes Øst'!$L$10:$L$12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'Leknes Øst'!$M$10:$M$12</c:f>
              <c:numCache>
                <c:formatCode>0.00%</c:formatCode>
                <c:ptCount val="3"/>
                <c:pt idx="0">
                  <c:v>0.97142857142857142</c:v>
                </c:pt>
                <c:pt idx="1">
                  <c:v>0.6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3C-4754-8888-1E6159350134}"/>
            </c:ext>
          </c:extLst>
        </c:ser>
        <c:ser>
          <c:idx val="1"/>
          <c:order val="1"/>
          <c:tx>
            <c:strRef>
              <c:f>'Leknes Øst'!$N$9</c:f>
              <c:strCache>
                <c:ptCount val="1"/>
                <c:pt idx="0">
                  <c:v>Faktisk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'Leknes Øst'!$L$10:$L$12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'Leknes Øst'!$N$10:$N$12</c:f>
              <c:numCache>
                <c:formatCode>0.0\ %</c:formatCode>
                <c:ptCount val="3"/>
                <c:pt idx="0" formatCode="0.00%">
                  <c:v>0.5</c:v>
                </c:pt>
                <c:pt idx="1">
                  <c:v>0.3833333333333333</c:v>
                </c:pt>
                <c:pt idx="2" formatCode="0.0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3C-4754-8888-1E61593501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48448"/>
        <c:axId val="214258432"/>
      </c:barChart>
      <c:catAx>
        <c:axId val="21424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258432"/>
        <c:crosses val="autoZero"/>
        <c:auto val="1"/>
        <c:lblAlgn val="ctr"/>
        <c:lblOffset val="100"/>
        <c:noMultiLvlLbl val="0"/>
      </c:catAx>
      <c:valAx>
        <c:axId val="2142584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424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'Leknes Øst'!$AL$1:$AN$1</c:f>
              <c:strCache>
                <c:ptCount val="3"/>
                <c:pt idx="0">
                  <c:v>Andel i 70-100% st - HØGSKOLE</c:v>
                </c:pt>
                <c:pt idx="1">
                  <c:v>Andel i 70-100% st - FAGARB.</c:v>
                </c:pt>
                <c:pt idx="2">
                  <c:v>Antall i 70-100% st - ASSISTENT</c:v>
                </c:pt>
              </c:strCache>
            </c:strRef>
          </c:cat>
          <c:val>
            <c:numRef>
              <c:f>'Leknes Øst'!$AL$2:$AN$2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0.36363636363636365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2B-4384-BD80-2E21C01B5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83008"/>
        <c:axId val="214284544"/>
      </c:barChart>
      <c:catAx>
        <c:axId val="21428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284544"/>
        <c:crosses val="autoZero"/>
        <c:auto val="1"/>
        <c:lblAlgn val="ctr"/>
        <c:lblOffset val="100"/>
        <c:noMultiLvlLbl val="0"/>
      </c:catAx>
      <c:valAx>
        <c:axId val="214284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428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'Leknes Øst'!$AG$1:$AH$1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'Leknes Øst'!$AG$2:$AH$2</c:f>
              <c:numCache>
                <c:formatCode>0</c:formatCode>
                <c:ptCount val="2"/>
                <c:pt idx="0">
                  <c:v>24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C4-48E6-8C24-8D8039976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677248"/>
        <c:axId val="213581824"/>
      </c:barChart>
      <c:catAx>
        <c:axId val="22267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581824"/>
        <c:crosses val="autoZero"/>
        <c:auto val="1"/>
        <c:lblAlgn val="ctr"/>
        <c:lblOffset val="100"/>
        <c:noMultiLvlLbl val="0"/>
      </c:catAx>
      <c:valAx>
        <c:axId val="21358182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267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'Leknes Øst'!$AQ$1</c:f>
              <c:strCache>
                <c:ptCount val="1"/>
                <c:pt idx="0">
                  <c:v>Vakante stillinger i turnus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'Leknes Øst'!$AQ$2:$AQ$3</c:f>
              <c:numCache>
                <c:formatCode>0.00%</c:formatCode>
                <c:ptCount val="2"/>
                <c:pt idx="0">
                  <c:v>0.20799999999999999</c:v>
                </c:pt>
                <c:pt idx="1">
                  <c:v>0.79200000000000004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E-4571-A124-F8C92FE51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nb-N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'Leknes Øst'!$AR$1:$AT$1</c:f>
              <c:strCache>
                <c:ptCount val="3"/>
                <c:pt idx="0">
                  <c:v>Total variasjon</c:v>
                </c:pt>
                <c:pt idx="1">
                  <c:v>Planlagt variasjon, FERIE 6%</c:v>
                </c:pt>
                <c:pt idx="2">
                  <c:v>Uønsket variasjon (ex ferie)</c:v>
                </c:pt>
              </c:strCache>
            </c:strRef>
          </c:cat>
          <c:val>
            <c:numRef>
              <c:f>'Leknes Øst'!$AR$2:$AT$2</c:f>
              <c:numCache>
                <c:formatCode>0%</c:formatCode>
                <c:ptCount val="3"/>
                <c:pt idx="0" formatCode="0.00%">
                  <c:v>0.30040650406504055</c:v>
                </c:pt>
                <c:pt idx="1">
                  <c:v>0.06</c:v>
                </c:pt>
                <c:pt idx="2" formatCode="0.00%">
                  <c:v>0.24040650406504055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2-4555-9D29-FA97FC11B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00896"/>
        <c:axId val="213819776"/>
      </c:barChart>
      <c:catAx>
        <c:axId val="21360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819776"/>
        <c:crosses val="autoZero"/>
        <c:auto val="1"/>
        <c:lblAlgn val="ctr"/>
        <c:lblOffset val="100"/>
        <c:noMultiLvlLbl val="0"/>
      </c:catAx>
      <c:valAx>
        <c:axId val="2138197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3600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4</cp:revision>
  <dcterms:created xsi:type="dcterms:W3CDTF">2017-06-29T12:37:00Z</dcterms:created>
  <dcterms:modified xsi:type="dcterms:W3CDTF">2018-07-10T11:06:00Z</dcterms:modified>
</cp:coreProperties>
</file>